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sz w:val="36"/>
          <w:szCs w:val="36"/>
          <w:rtl w:val="0"/>
        </w:rPr>
        <w:t xml:space="preserve">「井伏鱒二の視点」で考える</w:t>
      </w:r>
    </w:p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sz w:val="36"/>
          <w:szCs w:val="36"/>
          <w:rtl w:val="0"/>
        </w:rPr>
        <w:t xml:space="preserve">（       　　班）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班の中で、出てきた問いを共有しよう。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5"/>
        <w:gridCol w:w="3405"/>
        <w:gridCol w:w="3765"/>
        <w:tblGridChange w:id="0">
          <w:tblGrid>
            <w:gridCol w:w="1845"/>
            <w:gridCol w:w="3405"/>
            <w:gridCol w:w="3765"/>
          </w:tblGrid>
        </w:tblGridChange>
      </w:tblGrid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ページ・行数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問い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その人なりの答え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＋それに対して班員からコメントがあった場合、色ペンで書き残す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trHeight w:val="16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5"/>
        <w:gridCol w:w="3405"/>
        <w:gridCol w:w="3765"/>
        <w:tblGridChange w:id="0">
          <w:tblGrid>
            <w:gridCol w:w="1845"/>
            <w:gridCol w:w="3405"/>
            <w:gridCol w:w="3765"/>
          </w:tblGrid>
        </w:tblGridChange>
      </w:tblGrid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ページ・行数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問い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その人なりの答え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＋それに対して班員からコメントがあった場合、色ペンで書き残す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trHeight w:val="16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>
        <w:rFonts w:ascii="Arial Unicode MS" w:cs="Arial Unicode MS" w:eastAsia="Arial Unicode MS" w:hAnsi="Arial Unicode MS"/>
        <w:rtl w:val="0"/>
      </w:rPr>
      <w:t xml:space="preserve">現代文 第四回『山椒魚』　班用ワークシート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