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第4回　　「井伏鱒二の目線で考える。」</w:t>
            </w:r>
          </w:p>
        </w:tc>
        <w:tc>
          <w:tcPr/>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作成者：小倉・濱部</w:t>
            </w:r>
          </w:p>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実施日：2018.10.22</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(月曜日)</w:t>
            </w:r>
          </w:p>
        </w:tc>
      </w:tr>
    </w:tbl>
    <w:p w:rsidR="00000000" w:rsidDel="00000000" w:rsidP="00000000" w:rsidRDefault="00000000" w:rsidRPr="00000000" w14:paraId="00000006">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7">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60.122699386502"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40.3543970775"/>
        <w:gridCol w:w="6619.768302309001"/>
        <w:tblGridChange w:id="0">
          <w:tblGrid>
            <w:gridCol w:w="8840.3543970775"/>
            <w:gridCol w:w="6619.768302309001"/>
          </w:tblGrid>
        </w:tblGridChange>
      </w:tblGrid>
      <w:tr>
        <w:trPr>
          <w:trHeight w:val="5680" w:hRule="atLeast"/>
        </w:trPr>
        <w:tc>
          <w:tcPr>
            <w:tcMar>
              <w:top w:w="113.0" w:type="dxa"/>
              <w:bottom w:w="113.0" w:type="dxa"/>
            </w:tcMar>
          </w:tcPr>
          <w:p w:rsidR="00000000" w:rsidDel="00000000" w:rsidP="00000000" w:rsidRDefault="00000000" w:rsidRPr="00000000" w14:paraId="00000008">
            <w:pPr>
              <w:spacing w:line="276" w:lineRule="auto"/>
              <w:rPr>
                <w:rFonts w:ascii="Hiragino Kaku Gothic Pro W3" w:cs="Hiragino Kaku Gothic Pro W3" w:eastAsia="Hiragino Kaku Gothic Pro W3" w:hAnsi="Hiragino Kaku Gothic Pro W3"/>
                <w:color w:val="000000"/>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w:t>
            </w:r>
            <w:r w:rsidDel="00000000" w:rsidR="00000000" w:rsidRPr="00000000">
              <w:rPr>
                <w:rFonts w:ascii="Hiragino Kaku Gothic Pro W3" w:cs="Hiragino Kaku Gothic Pro W3" w:eastAsia="Hiragino Kaku Gothic Pro W3" w:hAnsi="Hiragino Kaku Gothic Pro W3"/>
                <w:color w:val="000000"/>
                <w:sz w:val="18"/>
                <w:szCs w:val="18"/>
                <w:u w:val="single"/>
                <w:rtl w:val="0"/>
              </w:rPr>
              <w:t xml:space="preserve">目的</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w:t>
            </w:r>
            <w:r w:rsidDel="00000000" w:rsidR="00000000" w:rsidRPr="00000000">
              <w:rPr>
                <w:rtl w:val="0"/>
              </w:rPr>
            </w:r>
          </w:p>
          <w:p w:rsidR="00000000" w:rsidDel="00000000" w:rsidP="00000000" w:rsidRDefault="00000000" w:rsidRPr="00000000" w14:paraId="0000000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C">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＊単元の目的達成のために、今回はどんな学びを生み出したいのか？</w:t>
            </w: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＊各回のステップ( ⅰ)~ⅵ)で表していたもの)をもとに入れてください！</w:t>
            </w: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18"/>
                <w:szCs w:val="18"/>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Arial Unicode MS" w:cs="Arial Unicode MS" w:eastAsia="Arial Unicode MS" w:hAnsi="Arial Unicode MS"/>
                <w:sz w:val="18"/>
                <w:szCs w:val="18"/>
                <w:rtl w:val="0"/>
              </w:rPr>
              <w:t xml:space="preserve">ⅲ)全員を納得させるような読みを探さなくていいんだということに気付き、無理に正解を求めない、という行為を</w:t>
            </w:r>
            <w:r w:rsidDel="00000000" w:rsidR="00000000" w:rsidRPr="00000000">
              <w:rPr>
                <w:rFonts w:ascii="Arial Unicode MS" w:cs="Arial Unicode MS" w:eastAsia="Arial Unicode MS" w:hAnsi="Arial Unicode MS"/>
                <w:color w:val="ff0000"/>
                <w:sz w:val="18"/>
                <w:szCs w:val="18"/>
                <w:u w:val="single"/>
                <w:rtl w:val="0"/>
              </w:rPr>
              <w:t xml:space="preserve">受け入れる</w:t>
            </w:r>
            <w:r w:rsidDel="00000000" w:rsidR="00000000" w:rsidRPr="00000000">
              <w:rPr>
                <w:rFonts w:ascii="Arial Unicode MS" w:cs="Arial Unicode MS" w:eastAsia="Arial Unicode MS" w:hAnsi="Arial Unicode MS"/>
                <w:sz w:val="18"/>
                <w:szCs w:val="18"/>
                <w:rtl w:val="0"/>
              </w:rPr>
              <w:t xml:space="preserve">。</w:t>
            </w:r>
          </w:p>
          <w:p w:rsidR="00000000" w:rsidDel="00000000" w:rsidP="00000000" w:rsidRDefault="00000000" w:rsidRPr="00000000" w14:paraId="00000010">
            <w:pPr>
              <w:widowControl w:val="1"/>
              <w:spacing w:line="276" w:lineRule="auto"/>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widowControl w:val="1"/>
              <w:spacing w:line="276" w:lineRule="auto"/>
              <w:jc w:val="left"/>
              <w:rPr>
                <w:rFonts w:ascii="游ゴシック" w:cs="游ゴシック" w:eastAsia="游ゴシック" w:hAnsi="游ゴシック"/>
                <w:sz w:val="18"/>
                <w:szCs w:val="18"/>
              </w:rPr>
            </w:pPr>
            <w:r w:rsidDel="00000000" w:rsidR="00000000" w:rsidRPr="00000000">
              <w:rPr>
                <w:rFonts w:ascii="Arial" w:cs="Arial" w:eastAsia="Arial" w:hAnsi="Arial"/>
                <w:sz w:val="18"/>
                <w:szCs w:val="18"/>
                <w:rtl w:val="0"/>
              </w:rPr>
              <w:t xml:space="preserve">ⅳ)</w:t>
            </w:r>
            <w:r w:rsidDel="00000000" w:rsidR="00000000" w:rsidRPr="00000000">
              <w:rPr>
                <w:rFonts w:ascii="Arial Unicode MS" w:cs="Arial Unicode MS" w:eastAsia="Arial Unicode MS" w:hAnsi="Arial Unicode MS"/>
                <w:color w:val="ff00ff"/>
                <w:sz w:val="18"/>
                <w:szCs w:val="18"/>
                <w:u w:val="single"/>
                <w:rtl w:val="0"/>
              </w:rPr>
              <w:t xml:space="preserve">他の人</w:t>
            </w:r>
            <w:r w:rsidDel="00000000" w:rsidR="00000000" w:rsidRPr="00000000">
              <w:rPr>
                <w:rFonts w:ascii="Arial Unicode MS" w:cs="Arial Unicode MS" w:eastAsia="Arial Unicode MS" w:hAnsi="Arial Unicode MS"/>
                <w:sz w:val="18"/>
                <w:szCs w:val="18"/>
                <w:rtl w:val="0"/>
              </w:rPr>
              <w:t xml:space="preserve">はどうしてそのような読みをしたのかに</w:t>
            </w:r>
            <w:r w:rsidDel="00000000" w:rsidR="00000000" w:rsidRPr="00000000">
              <w:rPr>
                <w:rFonts w:ascii="Arial Unicode MS" w:cs="Arial Unicode MS" w:eastAsia="Arial Unicode MS" w:hAnsi="Arial Unicode MS"/>
                <w:color w:val="ff0000"/>
                <w:sz w:val="18"/>
                <w:szCs w:val="18"/>
                <w:u w:val="single"/>
                <w:rtl w:val="0"/>
              </w:rPr>
              <w:t xml:space="preserve">興味を持ち、理解を示す</w:t>
            </w: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p w:rsidR="00000000" w:rsidDel="00000000" w:rsidP="00000000" w:rsidRDefault="00000000" w:rsidRPr="00000000" w14:paraId="0000001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3">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4">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6">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7">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9">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・6人×4班、5人×2班　の計6班</w:t>
            </w:r>
          </w:p>
          <w:p w:rsidR="00000000" w:rsidDel="00000000" w:rsidP="00000000" w:rsidRDefault="00000000" w:rsidRPr="00000000" w14:paraId="0000001A">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E">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1">
            <w:pPr>
              <w:spacing w:line="276" w:lineRule="auto"/>
              <w:rPr>
                <w:rFonts w:ascii="游ゴシック" w:cs="游ゴシック" w:eastAsia="游ゴシック" w:hAnsi="游ゴシック"/>
                <w:sz w:val="18"/>
                <w:szCs w:val="18"/>
              </w:rPr>
            </w:pPr>
            <w:r w:rsidDel="00000000" w:rsidR="00000000" w:rsidRPr="00000000">
              <w:rPr>
                <w:rtl w:val="0"/>
              </w:rPr>
            </w:r>
          </w:p>
        </w:tc>
        <w:tc>
          <w:tcPr/>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・作品の「外観」について自分なりの視点で読み直し、問いを立てることができる。</w:t>
            </w:r>
            <w:r w:rsidDel="00000000" w:rsidR="00000000" w:rsidRPr="00000000">
              <w:rPr>
                <w:rtl w:val="0"/>
              </w:rPr>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・他の人の考えに興味を持ち、それについて一緒に考えようとする。</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8">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・物語の「外観」に関する問いを自分で立て、ワークシートに書くことができる。(個人)</w:t>
            </w:r>
            <w:r w:rsidDel="00000000" w:rsidR="00000000" w:rsidRPr="00000000">
              <w:rPr>
                <w:rtl w:val="0"/>
              </w:rPr>
            </w:r>
          </w:p>
          <w:p w:rsidR="00000000" w:rsidDel="00000000" w:rsidP="00000000" w:rsidRDefault="00000000" w:rsidRPr="00000000" w14:paraId="00000029">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p>
          <w:p w:rsidR="00000000" w:rsidDel="00000000" w:rsidP="00000000" w:rsidRDefault="00000000" w:rsidRPr="00000000" w14:paraId="0000002A">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・自分の考えを根拠に従って説明する</w:t>
            </w:r>
          </w:p>
          <w:p w:rsidR="00000000" w:rsidDel="00000000" w:rsidP="00000000" w:rsidRDefault="00000000" w:rsidRPr="00000000" w14:paraId="0000002B">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C">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　(個人用×生徒数、班用×6)</w:t>
            </w:r>
          </w:p>
          <w:p w:rsidR="00000000" w:rsidDel="00000000" w:rsidP="00000000" w:rsidRDefault="00000000" w:rsidRPr="00000000" w14:paraId="0000002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1">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2">
            <w:pPr>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3">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color w:val="cc0000"/>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　40　/ 　45　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6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65"/>
        <w:gridCol w:w="780"/>
        <w:gridCol w:w="3105"/>
        <w:gridCol w:w="2970"/>
        <w:gridCol w:w="2700"/>
        <w:gridCol w:w="2130"/>
        <w:gridCol w:w="2415"/>
        <w:tblGridChange w:id="0">
          <w:tblGrid>
            <w:gridCol w:w="1365"/>
            <w:gridCol w:w="780"/>
            <w:gridCol w:w="3105"/>
            <w:gridCol w:w="2970"/>
            <w:gridCol w:w="2700"/>
            <w:gridCol w:w="2130"/>
            <w:gridCol w:w="2415"/>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4">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5">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6">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7">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8">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9">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4分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D">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・新しい大学生の自己紹介</w:t>
            </w:r>
          </w:p>
          <w:p w:rsidR="00000000" w:rsidDel="00000000" w:rsidP="00000000" w:rsidRDefault="00000000" w:rsidRPr="00000000" w14:paraId="0000003E">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・目的の確認</w:t>
            </w:r>
          </w:p>
          <w:p w:rsidR="00000000" w:rsidDel="00000000" w:rsidP="00000000" w:rsidRDefault="00000000" w:rsidRPr="00000000" w14:paraId="0000003F">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〇色々な解釈に触れ、</w:t>
            </w:r>
          </w:p>
          <w:p w:rsidR="00000000" w:rsidDel="00000000" w:rsidP="00000000" w:rsidRDefault="00000000" w:rsidRPr="00000000" w14:paraId="00000040">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〇”自分なりの読み”を楽しむ。</w:t>
            </w:r>
          </w:p>
          <w:p w:rsidR="00000000" w:rsidDel="00000000" w:rsidP="00000000" w:rsidRDefault="00000000" w:rsidRPr="00000000" w14:paraId="00000041">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2">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・今回やることの説明</w:t>
            </w:r>
          </w:p>
          <w:p w:rsidR="00000000" w:rsidDel="00000000" w:rsidP="00000000" w:rsidRDefault="00000000" w:rsidRPr="00000000" w14:paraId="00000043">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♦今までとの違い</w:t>
            </w:r>
          </w:p>
          <w:p w:rsidR="00000000" w:rsidDel="00000000" w:rsidP="00000000" w:rsidRDefault="00000000" w:rsidRPr="00000000" w14:paraId="00000044">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(1)本文を読む視点が「山椒魚」「蛙」から</w:t>
            </w:r>
            <w:r w:rsidDel="00000000" w:rsidR="00000000" w:rsidRPr="00000000">
              <w:rPr>
                <w:rFonts w:ascii="游ゴシック" w:cs="游ゴシック" w:eastAsia="游ゴシック" w:hAnsi="游ゴシック"/>
                <w:b w:val="1"/>
                <w:sz w:val="18"/>
                <w:szCs w:val="18"/>
                <w:rtl w:val="0"/>
              </w:rPr>
              <w:t xml:space="preserve">「作者」</w:t>
            </w:r>
            <w:r w:rsidDel="00000000" w:rsidR="00000000" w:rsidRPr="00000000">
              <w:rPr>
                <w:rFonts w:ascii="游ゴシック" w:cs="游ゴシック" w:eastAsia="游ゴシック" w:hAnsi="游ゴシック"/>
                <w:sz w:val="18"/>
                <w:szCs w:val="18"/>
                <w:rtl w:val="0"/>
              </w:rPr>
              <w:t xml:space="preserve">に変わること。</w:t>
            </w:r>
          </w:p>
          <w:p w:rsidR="00000000" w:rsidDel="00000000" w:rsidP="00000000" w:rsidRDefault="00000000" w:rsidRPr="00000000" w14:paraId="00000045">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(2)自分たちで問いを立てること。</w:t>
            </w:r>
          </w:p>
          <w:p w:rsidR="00000000" w:rsidDel="00000000" w:rsidP="00000000" w:rsidRDefault="00000000" w:rsidRPr="00000000" w14:paraId="00000046">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・各回同士の繋がり、一貫している目的を生徒に意識してもらう。</w:t>
            </w:r>
          </w:p>
          <w:p w:rsidR="00000000" w:rsidDel="00000000" w:rsidP="00000000" w:rsidRDefault="00000000" w:rsidRPr="00000000" w14:paraId="00000048">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9">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・後ろに待機</w:t>
            </w:r>
          </w:p>
          <w:p w:rsidR="00000000" w:rsidDel="00000000" w:rsidP="00000000" w:rsidRDefault="00000000" w:rsidRPr="00000000" w14:paraId="0000004B">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＜板書＞</w:t>
            </w:r>
          </w:p>
          <w:p w:rsidR="00000000" w:rsidDel="00000000" w:rsidP="00000000" w:rsidRDefault="00000000" w:rsidRPr="00000000" w14:paraId="0000004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ファシリが説明中に「全8回の目的」と、今回からのテーマ「</w:t>
            </w:r>
            <w:r w:rsidDel="00000000" w:rsidR="00000000" w:rsidRPr="00000000">
              <w:rPr>
                <w:rFonts w:ascii="游ゴシック" w:cs="游ゴシック" w:eastAsia="游ゴシック" w:hAnsi="游ゴシック"/>
                <w:b w:val="1"/>
                <w:sz w:val="18"/>
                <w:szCs w:val="18"/>
                <w:rtl w:val="0"/>
              </w:rPr>
              <w:t xml:space="preserve">作者</w:t>
            </w:r>
            <w:r w:rsidDel="00000000" w:rsidR="00000000" w:rsidRPr="00000000">
              <w:rPr>
                <w:rFonts w:ascii="游ゴシック" w:cs="游ゴシック" w:eastAsia="游ゴシック" w:hAnsi="游ゴシック"/>
                <w:sz w:val="18"/>
                <w:szCs w:val="18"/>
                <w:rtl w:val="0"/>
              </w:rPr>
              <w:t xml:space="preserve">の視点で考える」を後ろに書いておく。</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ワーク①</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F">
            <w:pPr>
              <w:widowControl w:val="1"/>
              <w:spacing w:line="276" w:lineRule="auto"/>
              <w:jc w:val="center"/>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18分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＜ポイントの説明＞(3分)</w:t>
            </w:r>
          </w:p>
          <w:p w:rsidR="00000000" w:rsidDel="00000000" w:rsidP="00000000" w:rsidRDefault="00000000" w:rsidRPr="00000000" w14:paraId="000000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b w:val="1"/>
                <w:sz w:val="18"/>
                <w:szCs w:val="18"/>
              </w:rPr>
            </w:pPr>
            <w:r w:rsidDel="00000000" w:rsidR="00000000" w:rsidRPr="00000000">
              <w:rPr>
                <w:rFonts w:ascii="游ゴシック" w:cs="游ゴシック" w:eastAsia="游ゴシック" w:hAnsi="游ゴシック"/>
                <w:b w:val="1"/>
                <w:sz w:val="18"/>
                <w:szCs w:val="18"/>
                <w:rtl w:val="0"/>
              </w:rPr>
              <w:t xml:space="preserve">①表現に関して</w:t>
            </w:r>
          </w:p>
          <w:p w:rsidR="00000000" w:rsidDel="00000000" w:rsidP="00000000" w:rsidRDefault="00000000" w:rsidRPr="00000000" w14:paraId="000000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「なぜここでこの 比喩表現/単語 を使ったのか。」など</w:t>
            </w:r>
          </w:p>
          <w:p w:rsidR="00000000" w:rsidDel="00000000" w:rsidP="00000000" w:rsidRDefault="00000000" w:rsidRPr="00000000" w14:paraId="000000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b w:val="1"/>
                <w:sz w:val="18"/>
                <w:szCs w:val="18"/>
              </w:rPr>
            </w:pPr>
            <w:r w:rsidDel="00000000" w:rsidR="00000000" w:rsidRPr="00000000">
              <w:rPr>
                <w:rFonts w:ascii="游ゴシック" w:cs="游ゴシック" w:eastAsia="游ゴシック" w:hAnsi="游ゴシック"/>
                <w:b w:val="1"/>
                <w:sz w:val="18"/>
                <w:szCs w:val="18"/>
                <w:rtl w:val="0"/>
              </w:rPr>
              <w:t xml:space="preserve">②物語の構成に関して</w:t>
            </w:r>
          </w:p>
          <w:p w:rsidR="00000000" w:rsidDel="00000000" w:rsidP="00000000" w:rsidRDefault="00000000" w:rsidRPr="00000000" w14:paraId="000000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「なぜ物語をこういう終わらせ方にしたのか。」「なぜそもそも主人公が山椒魚なのか。」など</w:t>
            </w:r>
          </w:p>
          <w:p w:rsidR="00000000" w:rsidDel="00000000" w:rsidP="00000000" w:rsidRDefault="00000000" w:rsidRPr="00000000" w14:paraId="000000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b w:val="1"/>
                <w:sz w:val="18"/>
                <w:szCs w:val="18"/>
              </w:rPr>
            </w:pPr>
            <w:r w:rsidDel="00000000" w:rsidR="00000000" w:rsidRPr="00000000">
              <w:rPr>
                <w:rFonts w:ascii="游ゴシック" w:cs="游ゴシック" w:eastAsia="游ゴシック" w:hAnsi="游ゴシック"/>
                <w:b w:val="1"/>
                <w:sz w:val="18"/>
                <w:szCs w:val="18"/>
                <w:rtl w:val="0"/>
              </w:rPr>
              <w:t xml:space="preserve">③その他</w:t>
            </w:r>
          </w:p>
          <w:p w:rsidR="00000000" w:rsidDel="00000000" w:rsidP="00000000" w:rsidRDefault="00000000" w:rsidRPr="00000000" w14:paraId="000000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 - - - - - - - -</w:t>
            </w:r>
          </w:p>
          <w:p w:rsidR="00000000" w:rsidDel="00000000" w:rsidP="00000000" w:rsidRDefault="00000000" w:rsidRPr="00000000" w14:paraId="000000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・作品の外観に関して問いを出す。</w:t>
            </w:r>
          </w:p>
          <w:p w:rsidR="00000000" w:rsidDel="00000000" w:rsidP="00000000" w:rsidRDefault="00000000" w:rsidRPr="00000000" w14:paraId="000000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・出した疑問に対してまずは”自分なり”に答えを考えて埋める。</w:t>
            </w:r>
          </w:p>
          <w:p w:rsidR="00000000" w:rsidDel="00000000" w:rsidP="00000000" w:rsidRDefault="00000000" w:rsidRPr="00000000" w14:paraId="000000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 - - - - - - - </w:t>
            </w:r>
          </w:p>
          <w:p w:rsidR="00000000" w:rsidDel="00000000" w:rsidP="00000000" w:rsidRDefault="00000000" w:rsidRPr="00000000" w14:paraId="000000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この繰り返しを、時間の許す限り何問でもやって良い。</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＜位置づけ＞</w:t>
            </w:r>
          </w:p>
          <w:p w:rsidR="00000000" w:rsidDel="00000000" w:rsidP="00000000" w:rsidRDefault="00000000" w:rsidRPr="00000000" w14:paraId="0000005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ワークの形式としては第3回と同じく「他者の解釈に触れる」ことではあるが、</w:t>
            </w:r>
            <w:r w:rsidDel="00000000" w:rsidR="00000000" w:rsidRPr="00000000">
              <w:rPr>
                <w:rFonts w:ascii="游ゴシック" w:cs="游ゴシック" w:eastAsia="游ゴシック" w:hAnsi="游ゴシック"/>
                <w:sz w:val="18"/>
                <w:szCs w:val="18"/>
                <w:u w:val="single"/>
                <w:rtl w:val="0"/>
              </w:rPr>
              <w:t xml:space="preserve">本文を読む視点を「作者」に変えることでまた新たな疑問や、文学作品としてのおもしろさも見えてくる</w:t>
            </w:r>
            <w:r w:rsidDel="00000000" w:rsidR="00000000" w:rsidRPr="00000000">
              <w:rPr>
                <w:rFonts w:ascii="游ゴシック" w:cs="游ゴシック" w:eastAsia="游ゴシック" w:hAnsi="游ゴシック"/>
                <w:sz w:val="18"/>
                <w:szCs w:val="18"/>
                <w:rtl w:val="0"/>
              </w:rPr>
              <w:t xml:space="preserve">。そして</w:t>
            </w:r>
            <w:r w:rsidDel="00000000" w:rsidR="00000000" w:rsidRPr="00000000">
              <w:rPr>
                <w:rFonts w:ascii="游ゴシック" w:cs="游ゴシック" w:eastAsia="游ゴシック" w:hAnsi="游ゴシック"/>
                <w:sz w:val="18"/>
                <w:szCs w:val="18"/>
                <w:u w:val="single"/>
                <w:rtl w:val="0"/>
              </w:rPr>
              <w:t xml:space="preserve">その疑問に対する考えも、人によって違うことが見えてくる面白さ</w:t>
            </w:r>
            <w:r w:rsidDel="00000000" w:rsidR="00000000" w:rsidRPr="00000000">
              <w:rPr>
                <w:rFonts w:ascii="游ゴシック" w:cs="游ゴシック" w:eastAsia="游ゴシック" w:hAnsi="游ゴシック"/>
                <w:sz w:val="18"/>
                <w:szCs w:val="18"/>
                <w:rtl w:val="0"/>
              </w:rPr>
              <w:t xml:space="preserve">というのが第4~5回のポイント。第5回が他者と語り合う時間なので、今回は自分で物語をもう一度新しい視点で読むことがメインになる。</w:t>
            </w:r>
          </w:p>
          <w:p w:rsidR="00000000" w:rsidDel="00000000" w:rsidP="00000000" w:rsidRDefault="00000000" w:rsidRPr="00000000" w14:paraId="0000005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E">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＊机は全員前向き。</w:t>
            </w:r>
          </w:p>
          <w:p w:rsidR="00000000" w:rsidDel="00000000" w:rsidP="00000000" w:rsidRDefault="00000000" w:rsidRPr="00000000" w14:paraId="0000005F">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・物語を「作者」の視点で読み直しながら、ワークシートに思い浮かんだ「問い」と、それに対する「”自分なり”の答え」を記入していく。(個人)</w:t>
            </w:r>
          </w:p>
          <w:p w:rsidR="00000000" w:rsidDel="00000000" w:rsidP="00000000" w:rsidRDefault="00000000" w:rsidRPr="00000000" w14:paraId="00000060">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1">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2">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3">
            <w:pPr>
              <w:widowControl w:val="1"/>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4">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・思考を邪魔しない程度に机間巡視しながら、手が止まっている生徒には</w:t>
            </w:r>
          </w:p>
          <w:p w:rsidR="00000000" w:rsidDel="00000000" w:rsidP="00000000" w:rsidRDefault="00000000" w:rsidRPr="00000000" w14:paraId="00000065">
            <w:pPr>
              <w:spacing w:line="276" w:lineRule="auto"/>
              <w:ind w:left="0" w:firstLine="0"/>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「どういう風に物語を読み直せば良いのか、イメージが湧いたかどうか」から確認を取ってあげる。イメージできていなかった場合は、他にも例を挙げながら個別に説明。</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游ゴシック" w:cs="游ゴシック" w:eastAsia="游ゴシック" w:hAnsi="游ゴシック"/>
                <w:sz w:val="18"/>
                <w:szCs w:val="18"/>
                <w:rtl w:val="0"/>
              </w:rPr>
              <w:t xml:space="preserve">山椒魚→井伏の気持ちにチェンジ「井伏鱒二がなぜこう書いたのか～」</w:t>
            </w:r>
            <w:r w:rsidDel="00000000" w:rsidR="00000000" w:rsidRPr="00000000">
              <w:rPr>
                <w:rtl w:val="0"/>
              </w:rPr>
            </w:r>
          </w:p>
          <w:p w:rsidR="00000000" w:rsidDel="00000000" w:rsidP="00000000" w:rsidRDefault="00000000" w:rsidRPr="00000000" w14:paraId="000000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↑を生徒が「面白い」と思えるように投げかけたい。</w:t>
            </w:r>
          </w:p>
          <w:p w:rsidR="00000000" w:rsidDel="00000000" w:rsidP="00000000" w:rsidRDefault="00000000" w:rsidRPr="00000000" w14:paraId="000000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9">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・問いは、どの場面からでも・いくつでも出しても良い。</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ワーク②</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10分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・共有しながら、班用のワークシートにまとめていく。（10分）</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6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・自分は、</w:t>
            </w:r>
          </w:p>
          <w:p w:rsidR="00000000" w:rsidDel="00000000" w:rsidP="00000000" w:rsidRDefault="00000000" w:rsidRPr="00000000" w14:paraId="0000006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(1)この物語のどこが気になったのか</w:t>
            </w:r>
          </w:p>
          <w:p w:rsidR="00000000" w:rsidDel="00000000" w:rsidP="00000000" w:rsidRDefault="00000000" w:rsidRPr="00000000" w14:paraId="0000006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(2)それに対してどう解釈したのか</w:t>
            </w:r>
          </w:p>
          <w:p w:rsidR="00000000" w:rsidDel="00000000" w:rsidP="00000000" w:rsidRDefault="00000000" w:rsidRPr="00000000" w14:paraId="0000007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が人に説明できるように、言葉にする練習という意味も込めて「共有」としている。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1">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・班で自分が立てた問いと</w:t>
            </w:r>
          </w:p>
          <w:p w:rsidR="00000000" w:rsidDel="00000000" w:rsidP="00000000" w:rsidRDefault="00000000" w:rsidRPr="00000000" w14:paraId="00000072">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それに対する、現段階の自分の答えを発表する。</w:t>
            </w:r>
          </w:p>
          <w:p w:rsidR="00000000" w:rsidDel="00000000" w:rsidP="00000000" w:rsidRDefault="00000000" w:rsidRPr="00000000" w14:paraId="00000073">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・それに対して思ったことを、班員は自由にコメントする。</w:t>
            </w:r>
          </w:p>
          <w:p w:rsidR="00000000" w:rsidDel="00000000" w:rsidP="00000000" w:rsidRDefault="00000000" w:rsidRPr="00000000" w14:paraId="00000074">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・(書記)ワークシートにまとめる。班員からのコメントは色ペンでわかるようにしておく。</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5">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班を回ってアドバイス</w:t>
            </w:r>
          </w:p>
          <w:p w:rsidR="00000000" w:rsidDel="00000000" w:rsidP="00000000" w:rsidRDefault="00000000" w:rsidRPr="00000000" w14:paraId="00000076">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→大学生の投げかけの説明</w:t>
            </w:r>
          </w:p>
          <w:p w:rsidR="00000000" w:rsidDel="00000000" w:rsidP="00000000" w:rsidRDefault="00000000" w:rsidRPr="00000000" w14:paraId="000000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・「答えを一つに決めるのがゴールではない」ということを意識しながら話し合いに少しずつ入る。</w:t>
            </w:r>
          </w:p>
          <w:p w:rsidR="00000000" w:rsidDel="00000000" w:rsidP="00000000" w:rsidRDefault="00000000" w:rsidRPr="00000000" w14:paraId="00000078">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・話し合いを始める前に、班で書記係を決めるように促すと良いかも。</w:t>
            </w:r>
          </w:p>
          <w:p w:rsidR="00000000" w:rsidDel="00000000" w:rsidP="00000000" w:rsidRDefault="00000000" w:rsidRPr="00000000" w14:paraId="0000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＊班用のワークシートだけ回収！！</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2">
            <w:pPr>
              <w:widowControl w:val="1"/>
              <w:spacing w:line="276" w:lineRule="auto"/>
              <w:jc w:val="center"/>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今日の振り返りを記入する。</w:t>
            </w:r>
          </w:p>
          <w:p w:rsidR="00000000" w:rsidDel="00000000" w:rsidP="00000000" w:rsidRDefault="00000000" w:rsidRPr="00000000" w14:paraId="00000084">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(個人用ワークシート末尾)</w:t>
            </w:r>
          </w:p>
          <w:p w:rsidR="00000000" w:rsidDel="00000000" w:rsidP="00000000" w:rsidRDefault="00000000" w:rsidRPr="00000000" w14:paraId="000000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8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・物語を「作者目線で」読んでみた感想</w:t>
            </w:r>
          </w:p>
          <w:p w:rsidR="00000000" w:rsidDel="00000000" w:rsidP="00000000" w:rsidRDefault="00000000" w:rsidRPr="00000000" w14:paraId="0000008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・自分で立てた問い・他の人が立てた問いに触れてみてどう思ったか。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8">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振り返りの欄に記入。</w:t>
            </w:r>
          </w:p>
          <w:p w:rsidR="00000000" w:rsidDel="00000000" w:rsidP="00000000" w:rsidRDefault="00000000" w:rsidRPr="00000000" w14:paraId="00000089">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(個人用ワークシート末尾)</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A">
            <w:pPr>
              <w:spacing w:line="276" w:lineRule="auto"/>
              <w:ind w:left="0" w:firstLine="0"/>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まとめ</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3分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・今日やったこと、考えてみてほしかったことを大学生がまとめる。</w:t>
            </w:r>
          </w:p>
          <w:p w:rsidR="00000000" w:rsidDel="00000000" w:rsidP="00000000" w:rsidRDefault="00000000" w:rsidRPr="00000000" w14:paraId="0000008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・第5回の説明</w:t>
            </w:r>
          </w:p>
          <w:p w:rsidR="00000000" w:rsidDel="00000000" w:rsidP="00000000" w:rsidRDefault="00000000" w:rsidRPr="00000000" w14:paraId="0000009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→「答えはない」ことの強調</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9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・目的と、今日やったことの繋がりを生徒に意識してもらう。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・話を聞く</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3">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color w:val="000000"/>
          <w:sz w:val="18"/>
          <w:szCs w:val="18"/>
        </w:rPr>
      </w:pPr>
      <w:r w:rsidDel="00000000" w:rsidR="00000000" w:rsidRPr="00000000">
        <w:rPr>
          <w:rtl w:val="0"/>
        </w:rPr>
      </w:r>
    </w:p>
    <w:p w:rsidR="00000000" w:rsidDel="00000000" w:rsidP="00000000" w:rsidRDefault="00000000" w:rsidRPr="00000000" w14:paraId="000000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Hiragino Kaku Gothic Pro W6"/>
  <w:font w:name="游ゴシック"/>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595959"/>
        <w:sz w:val="21"/>
        <w:szCs w:val="21"/>
        <w:u w:val="none"/>
        <w:shd w:fill="auto" w:val="clear"/>
        <w:vertAlign w:val="baseline"/>
      </w:rPr>
    </w:pPr>
    <w:r w:rsidDel="00000000" w:rsidR="00000000" w:rsidRPr="00000000">
      <w:rPr>
        <w:rFonts w:ascii="Hiragino Kaku Gothic Pro W3" w:cs="Hiragino Kaku Gothic Pro W3" w:eastAsia="Hiragino Kaku Gothic Pro W3" w:hAnsi="Hiragino Kaku Gothic Pro W3"/>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第</w:t>
    </w:r>
    <w:r w:rsidDel="00000000" w:rsidR="00000000" w:rsidRPr="00000000">
      <w:rPr>
        <w:rFonts w:ascii="Calibri" w:cs="Calibri" w:eastAsia="Calibri" w:hAnsi="Calibri"/>
        <w:sz w:val="18"/>
        <w:szCs w:val="18"/>
        <w:rtl w:val="0"/>
      </w:rPr>
      <w:t xml:space="preserve">4</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